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cs="华文中宋"/>
          <w:sz w:val="36"/>
          <w:szCs w:val="36"/>
        </w:rPr>
      </w:pPr>
    </w:p>
    <w:p>
      <w:pPr>
        <w:jc w:val="center"/>
        <w:rPr>
          <w:rFonts w:hint="eastAsia" w:ascii="华文中宋" w:hAnsi="华文中宋" w:eastAsia="华文中宋" w:cs="华文中宋"/>
          <w:sz w:val="36"/>
          <w:szCs w:val="36"/>
        </w:rPr>
      </w:pPr>
      <w:bookmarkStart w:id="0" w:name="_GoBack"/>
      <w:bookmarkEnd w:id="0"/>
      <w:r>
        <w:rPr>
          <w:rFonts w:hint="eastAsia" w:ascii="华文中宋" w:hAnsi="华文中宋" w:eastAsia="华文中宋" w:cs="华文中宋"/>
          <w:sz w:val="36"/>
          <w:szCs w:val="36"/>
        </w:rPr>
        <w:t>关于2024年全国休闲农业重点县申报工作的说明</w:t>
      </w:r>
    </w:p>
    <w:p>
      <w:pPr>
        <w:jc w:val="center"/>
        <w:rPr>
          <w:rFonts w:hint="eastAsia" w:ascii="华文中宋" w:hAnsi="华文中宋" w:eastAsia="华文中宋" w:cs="华文中宋"/>
          <w:sz w:val="36"/>
          <w:szCs w:val="36"/>
        </w:rPr>
      </w:pPr>
    </w:p>
    <w:p>
      <w:pPr>
        <w:rPr>
          <w:rFonts w:hint="eastAsia" w:ascii="黑体" w:hAnsi="黑体" w:eastAsia="黑体" w:cs="黑体"/>
          <w:sz w:val="32"/>
          <w:szCs w:val="32"/>
        </w:rPr>
      </w:pPr>
      <w:r>
        <w:rPr>
          <w:rFonts w:hint="eastAsia" w:ascii="黑体" w:hAnsi="黑体" w:eastAsia="黑体" w:cs="黑体"/>
          <w:sz w:val="32"/>
          <w:szCs w:val="32"/>
        </w:rPr>
        <w:t>一、填报材料主要内容完整性审核</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申报主体要求提示：参加休闲农业重点县申报的县（市、区、旗）必须是县级行政区划人民政府，具有县域用地、财税等职权，</w:t>
      </w:r>
      <w:r>
        <w:rPr>
          <w:rFonts w:hint="eastAsia" w:ascii="仿宋_GB2312" w:hAnsi="仿宋_GB2312" w:eastAsia="仿宋_GB2312" w:cs="仿宋_GB2312"/>
          <w:b/>
          <w:bCs/>
          <w:sz w:val="32"/>
          <w:szCs w:val="32"/>
        </w:rPr>
        <w:t>县级开发区、特区</w:t>
      </w:r>
      <w:r>
        <w:rPr>
          <w:rFonts w:hint="eastAsia" w:ascii="仿宋_GB2312" w:hAnsi="仿宋_GB2312" w:eastAsia="仿宋_GB2312" w:cs="仿宋_GB2312"/>
          <w:sz w:val="32"/>
          <w:szCs w:val="32"/>
        </w:rPr>
        <w:t>等不在申报范围内。</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1.省级申报文件申报县排序、数量与网上申报一致性，其中，申报数量要严格按照《2024年全国休闲农业重点县申报名额分配表</w:t>
      </w:r>
      <w:r>
        <w:rPr>
          <w:rFonts w:hint="eastAsia" w:ascii="仿宋_GB2312" w:hAnsi="仿宋_GB2312" w:eastAsia="仿宋_GB2312" w:cs="仿宋_GB2312"/>
          <w:b w:val="0"/>
          <w:bCs w:val="0"/>
          <w:sz w:val="32"/>
          <w:szCs w:val="32"/>
        </w:rPr>
        <w:t>》进行申报</w:t>
      </w:r>
      <w:r>
        <w:rPr>
          <w:rFonts w:hint="eastAsia" w:ascii="仿宋_GB2312" w:hAnsi="仿宋_GB2312" w:eastAsia="仿宋_GB2312" w:cs="仿宋_GB2312"/>
          <w:b/>
          <w:bCs/>
          <w:sz w:val="32"/>
          <w:szCs w:val="32"/>
        </w:rPr>
        <w:t>，名额超报将退回</w:t>
      </w:r>
      <w:r>
        <w:rPr>
          <w:rFonts w:hint="eastAsia" w:ascii="仿宋_GB2312" w:hAnsi="仿宋_GB2312" w:eastAsia="仿宋_GB2312" w:cs="仿宋_GB2312"/>
          <w:sz w:val="32"/>
          <w:szCs w:val="32"/>
        </w:rPr>
        <w:t>。在名额范围内同等条件下可优先推荐国家乡村振兴重点帮扶县。</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2.《2024年全国休闲农业重点县申报表》填写规范性、省县两级盖章。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3.申报条件中明确要求的支撑材料。包括休闲农业发展规划、重点县建设实施方案、已出台并实施的休闲农业相关政策性文件等。</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2024年全国休闲农业重点县申报表》中明确要求的支撑材料。主要涉及表中“发展休闲农业优势资源及比较优势”一栏，需要提供特别说明。基本情况概述中要有对休闲农业供地、融资等扶持政策方面的详细表述。</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5.数据性指标未在申报表中体现，但在申报条件中有明确要求的，需要提供相关支撑材料或在基本情况概述中说明。主要涉及</w:t>
      </w:r>
      <w:r>
        <w:rPr>
          <w:rFonts w:hint="eastAsia" w:ascii="仿宋_GB2312" w:hAnsi="仿宋_GB2312" w:eastAsia="仿宋_GB2312" w:cs="仿宋_GB2312"/>
          <w:b/>
          <w:bCs/>
          <w:sz w:val="32"/>
          <w:szCs w:val="32"/>
        </w:rPr>
        <w:t>业态活跃丰富方面</w:t>
      </w:r>
      <w:r>
        <w:rPr>
          <w:rFonts w:hint="eastAsia" w:ascii="仿宋_GB2312" w:hAnsi="仿宋_GB2312" w:eastAsia="仿宋_GB2312" w:cs="仿宋_GB2312"/>
          <w:sz w:val="32"/>
          <w:szCs w:val="32"/>
        </w:rPr>
        <w:t>：农家乐、乡村民宿、休闲观光园区、休闲农庄、休闲乡村、康养小镇和教育农园等业态类型丰富，至少具有五项上述类型，分布在县域1/3以上乡镇。</w:t>
      </w:r>
      <w:r>
        <w:rPr>
          <w:rFonts w:hint="eastAsia" w:ascii="仿宋_GB2312" w:hAnsi="仿宋_GB2312" w:eastAsia="仿宋_GB2312" w:cs="仿宋_GB2312"/>
          <w:b/>
          <w:bCs/>
          <w:sz w:val="32"/>
          <w:szCs w:val="32"/>
        </w:rPr>
        <w:t>多种功能拓展方面</w:t>
      </w:r>
      <w:r>
        <w:rPr>
          <w:rFonts w:hint="eastAsia" w:ascii="仿宋_GB2312" w:hAnsi="仿宋_GB2312" w:eastAsia="仿宋_GB2312" w:cs="仿宋_GB2312"/>
          <w:sz w:val="32"/>
          <w:szCs w:val="32"/>
        </w:rPr>
        <w:t>：至少有1项特色鲜明，效益良好的生态休闲、乡村文化、教育体验项目。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二、数据指标真实性审核</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1.至少1项自然文化资源优势的条件。根据申报表与提供的相关说明（申报表中有明确要求）。</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2.至少1个中国美丽休闲乡村的条件。根据农业农村部印发的中国美丽休闲乡村名单公布文件予以核实。</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3.接待量3年平均增速的真实性。根据各县提供的原始数据和历年监测数据核算。</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4.营业收入3年平均增速的真实性。根据各县提供的原始数据和历年监测数据核算。</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5.从业人员中农民就业比例的核算。根据申报表中“休闲农业从业人数”与“其中农民从业人数”两项予以核算。</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三、主要条件指标审核</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1.硬性数量指标</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（1）至少1项自然文化资源优势。</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（2）年接待量。东部地区200万人次以上，中部地区150万人次以上，西部地区100万人次以上。</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（3）业态类型数量及分布。农家乐、乡村民宿、休闲观光园区、休闲农庄、休闲乡村、康养和教育基地等业态类型丰富，至少具有5项上述类型，分布在县域1/3以上乡镇。</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在全国具有较高知名度的休闲农业和乡村旅游点5个以上，包括省级以上美丽休闲乡村（其中至少1个中国美丽休闲乡村）、农家乐特色村、休闲农业聚集村、休闲农业园区、农家乐、乡村民宿等。注意：至少1个中国美丽休闲乡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（5）乡村休闲旅游精品线路数量。在县域形成乡村休闲旅游精品线路数量1条以上。</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（6）至少具有1项特色鲜明、效益良好的生态休闲体验、乡村文化体验和教育拓展体验项目。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（7）农民就业比例。从业人员中农民就业比例达60%以上。</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近3年无食品安全、生态环境、刑事案件、消防治安等违法违规事件发生。（近3年县域内没有食品安全、生态环境等违法违规事件被曝光、受到上级处分、通报批评、约谈等；若有违法违规行为与休闲农业发展无关、违法违规行为已责令整改完毕，则符合申报条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2.柔性数量指标</w:t>
      </w:r>
    </w:p>
    <w:p>
      <w:pPr>
        <w:numPr>
          <w:ilvl w:val="0"/>
          <w:numId w:val="0"/>
        </w:numPr>
        <w:ind w:right="105" w:rightChars="50"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接待人次与营业收入近三年平均增速。2021—2023年三年休闲农业游客接待人次和营业收入保持较好的韧性，原则上增速应为正值。</w:t>
      </w:r>
      <w:r>
        <w:rPr>
          <w:rFonts w:hint="eastAsia" w:ascii="Times New Roman" w:hAnsi="Times New Roman" w:eastAsia="仿宋" w:cs="仿宋"/>
          <w:color w:val="000000"/>
          <w:sz w:val="32"/>
          <w:szCs w:val="32"/>
        </w:rPr>
        <w:t>“近三年平均增速”指以20</w:t>
      </w:r>
      <w:r>
        <w:rPr>
          <w:rFonts w:hint="eastAsia" w:ascii="Times New Roman" w:hAnsi="Times New Roman" w:eastAsia="仿宋" w:cs="仿宋"/>
          <w:color w:val="000000"/>
          <w:sz w:val="32"/>
          <w:szCs w:val="32"/>
          <w:lang w:val="en-US" w:eastAsia="zh-CN"/>
        </w:rPr>
        <w:t>20</w:t>
      </w:r>
      <w:r>
        <w:rPr>
          <w:rFonts w:hint="eastAsia" w:ascii="Times New Roman" w:hAnsi="Times New Roman" w:eastAsia="仿宋" w:cs="仿宋"/>
          <w:color w:val="000000"/>
          <w:sz w:val="32"/>
          <w:szCs w:val="32"/>
        </w:rPr>
        <w:t>年为基期，2</w:t>
      </w:r>
      <w:r>
        <w:rPr>
          <w:rFonts w:ascii="Times New Roman" w:hAnsi="Times New Roman" w:eastAsia="仿宋" w:cs="仿宋"/>
          <w:color w:val="000000"/>
          <w:sz w:val="32"/>
          <w:szCs w:val="32"/>
        </w:rPr>
        <w:t>0</w:t>
      </w:r>
      <w:r>
        <w:rPr>
          <w:rFonts w:hint="eastAsia" w:ascii="Times New Roman" w:hAnsi="Times New Roman" w:eastAsia="仿宋" w:cs="仿宋"/>
          <w:color w:val="000000"/>
          <w:sz w:val="32"/>
          <w:szCs w:val="32"/>
          <w:lang w:val="en-US" w:eastAsia="zh-CN"/>
        </w:rPr>
        <w:t>21</w:t>
      </w:r>
      <w:r>
        <w:rPr>
          <w:rFonts w:ascii="Times New Roman" w:hAnsi="Times New Roman" w:eastAsia="仿宋" w:cs="仿宋"/>
          <w:color w:val="000000"/>
          <w:sz w:val="32"/>
          <w:szCs w:val="32"/>
        </w:rPr>
        <w:t>—</w:t>
      </w:r>
      <w:r>
        <w:rPr>
          <w:rFonts w:hint="default" w:ascii="Times New Roman" w:hAnsi="Times New Roman" w:eastAsia="仿宋" w:cs="Times New Roman"/>
          <w:color w:val="000000"/>
          <w:sz w:val="32"/>
          <w:szCs w:val="32"/>
        </w:rPr>
        <w:t>202</w:t>
      </w:r>
      <w:r>
        <w:rPr>
          <w:rFonts w:hint="default" w:ascii="Times New Roman" w:hAnsi="Times New Roman" w:eastAsia="仿宋" w:cs="Times New Roman"/>
          <w:color w:val="000000"/>
          <w:sz w:val="32"/>
          <w:szCs w:val="32"/>
          <w:lang w:val="en-US" w:eastAsia="zh-CN"/>
        </w:rPr>
        <w:t>3</w:t>
      </w:r>
      <w:r>
        <w:rPr>
          <w:rFonts w:hint="eastAsia" w:ascii="Times New Roman" w:hAnsi="Times New Roman" w:eastAsia="仿宋" w:cs="仿宋"/>
          <w:color w:val="000000"/>
          <w:sz w:val="32"/>
          <w:szCs w:val="32"/>
        </w:rPr>
        <w:t>年的年均增长率</w:t>
      </w:r>
      <m:oMath>
        <m:r>
          <m:rPr/>
          <w:rPr>
            <w:rFonts w:ascii="Cambria Math" w:hAnsi="Cambria Math" w:eastAsia="仿宋" w:cs="Cambria Math"/>
            <w:color w:val="000000" w:themeColor="text1"/>
            <w:sz w:val="32"/>
            <w:szCs w:val="32"/>
            <w14:textFill>
              <w14:solidFill>
                <w14:schemeClr w14:val="tx1"/>
              </w14:solidFill>
            </w14:textFill>
          </w:rPr>
          <m:t>α</m:t>
        </m:r>
      </m:oMath>
      <w:r>
        <w:rPr>
          <w:rFonts w:hint="eastAsia" w:ascii="Times New Roman" w:hAnsi="Times New Roman" w:eastAsia="仿宋" w:cs="仿宋"/>
          <w:color w:val="000000"/>
          <w:sz w:val="32"/>
          <w:szCs w:val="32"/>
        </w:rPr>
        <w:t>，基期20</w:t>
      </w:r>
      <w:r>
        <w:rPr>
          <w:rFonts w:hint="eastAsia" w:ascii="Times New Roman" w:hAnsi="Times New Roman" w:eastAsia="仿宋" w:cs="仿宋"/>
          <w:color w:val="000000"/>
          <w:sz w:val="32"/>
          <w:szCs w:val="32"/>
          <w:lang w:val="en-US" w:eastAsia="zh-CN"/>
        </w:rPr>
        <w:t>20</w:t>
      </w:r>
      <w:r>
        <w:rPr>
          <w:rFonts w:hint="eastAsia" w:ascii="Times New Roman" w:hAnsi="Times New Roman" w:eastAsia="仿宋" w:cs="仿宋"/>
          <w:color w:val="000000"/>
          <w:sz w:val="32"/>
          <w:szCs w:val="32"/>
        </w:rPr>
        <w:t>年的数据为</w:t>
      </w:r>
      <m:oMath>
        <m:sSub>
          <m:sSubPr>
            <m:ctrlPr>
              <w:rPr>
                <w:rFonts w:ascii="Cambria Math" w:hAnsi="Cambria Math" w:cs="仿宋"/>
                <w:i/>
                <w:color w:val="000000"/>
                <w:sz w:val="32"/>
                <w:szCs w:val="32"/>
              </w:rPr>
            </m:ctrlPr>
          </m:sSubPr>
          <m:e>
            <m:r>
              <m:rPr/>
              <w:rPr>
                <w:rFonts w:ascii="Cambria Math" w:hAnsi="Cambria Math" w:cs="仿宋"/>
                <w:color w:val="000000"/>
                <w:sz w:val="32"/>
                <w:szCs w:val="32"/>
              </w:rPr>
              <m:t>x</m:t>
            </m:r>
            <m:ctrlPr>
              <w:rPr>
                <w:rFonts w:ascii="Cambria Math" w:hAnsi="Cambria Math" w:cs="仿宋"/>
                <w:i/>
                <w:color w:val="000000"/>
                <w:sz w:val="32"/>
                <w:szCs w:val="32"/>
              </w:rPr>
            </m:ctrlPr>
          </m:e>
          <m:sub>
            <m:r>
              <m:rPr/>
              <w:rPr>
                <w:rFonts w:ascii="Cambria Math" w:hAnsi="Cambria Math" w:cs="仿宋"/>
                <w:color w:val="000000"/>
                <w:sz w:val="32"/>
                <w:szCs w:val="32"/>
              </w:rPr>
              <m:t>20</m:t>
            </m:r>
            <m:r>
              <m:rPr/>
              <w:rPr>
                <w:rFonts w:hint="default" w:ascii="Cambria Math" w:hAnsi="Cambria Math" w:cs="仿宋"/>
                <w:color w:val="000000"/>
                <w:sz w:val="32"/>
                <w:szCs w:val="32"/>
                <w:lang w:val="en-US" w:eastAsia="zh-CN"/>
              </w:rPr>
              <m:t>20</m:t>
            </m:r>
            <m:ctrlPr>
              <w:rPr>
                <w:rFonts w:ascii="Cambria Math" w:hAnsi="Cambria Math" w:cs="仿宋"/>
                <w:i/>
                <w:color w:val="000000"/>
                <w:sz w:val="32"/>
                <w:szCs w:val="32"/>
              </w:rPr>
            </m:ctrlPr>
          </m:sub>
        </m:sSub>
      </m:oMath>
      <w:r>
        <w:rPr>
          <w:rFonts w:hint="eastAsia" w:ascii="Times New Roman" w:hAnsi="Times New Roman" w:eastAsia="仿宋" w:cs="仿宋"/>
          <w:color w:val="000000"/>
          <w:sz w:val="32"/>
          <w:szCs w:val="32"/>
        </w:rPr>
        <w:t>，202</w:t>
      </w:r>
      <w:r>
        <w:rPr>
          <w:rFonts w:hint="eastAsia" w:ascii="Times New Roman" w:hAnsi="Times New Roman" w:eastAsia="仿宋" w:cs="仿宋"/>
          <w:color w:val="000000"/>
          <w:sz w:val="32"/>
          <w:szCs w:val="32"/>
          <w:lang w:val="en-US" w:eastAsia="zh-CN"/>
        </w:rPr>
        <w:t>3</w:t>
      </w:r>
      <w:r>
        <w:rPr>
          <w:rFonts w:hint="eastAsia" w:ascii="Times New Roman" w:hAnsi="Times New Roman" w:eastAsia="仿宋" w:cs="Cambria Math"/>
          <w:color w:val="000000"/>
          <w:sz w:val="32"/>
          <w:szCs w:val="32"/>
        </w:rPr>
        <w:t>年的数据为</w:t>
      </w:r>
      <m:oMath>
        <m:sSub>
          <m:sSubPr>
            <m:ctrlPr>
              <w:rPr>
                <w:rFonts w:ascii="Cambria Math" w:hAnsi="Cambria Math" w:cs="仿宋"/>
                <w:i/>
                <w:color w:val="000000"/>
                <w:sz w:val="32"/>
                <w:szCs w:val="32"/>
              </w:rPr>
            </m:ctrlPr>
          </m:sSubPr>
          <m:e>
            <m:r>
              <m:rPr/>
              <w:rPr>
                <w:rFonts w:ascii="Cambria Math" w:hAnsi="Cambria Math" w:cs="仿宋"/>
                <w:color w:val="000000"/>
                <w:sz w:val="32"/>
                <w:szCs w:val="32"/>
              </w:rPr>
              <m:t>x</m:t>
            </m:r>
            <m:ctrlPr>
              <w:rPr>
                <w:rFonts w:ascii="Cambria Math" w:hAnsi="Cambria Math" w:cs="仿宋"/>
                <w:i/>
                <w:color w:val="000000"/>
                <w:sz w:val="32"/>
                <w:szCs w:val="32"/>
              </w:rPr>
            </m:ctrlPr>
          </m:e>
          <m:sub>
            <m:r>
              <m:rPr/>
              <w:rPr>
                <w:rFonts w:ascii="Cambria Math" w:hAnsi="Cambria Math" w:cs="仿宋"/>
                <w:color w:val="000000"/>
                <w:sz w:val="32"/>
                <w:szCs w:val="32"/>
              </w:rPr>
              <m:t>202</m:t>
            </m:r>
            <m:r>
              <m:rPr/>
              <w:rPr>
                <w:rFonts w:hint="default" w:ascii="Cambria Math" w:hAnsi="Cambria Math" w:cs="仿宋"/>
                <w:color w:val="000000"/>
                <w:sz w:val="32"/>
                <w:szCs w:val="32"/>
                <w:lang w:val="en-US" w:eastAsia="zh-CN"/>
              </w:rPr>
              <m:t>3</m:t>
            </m:r>
            <m:ctrlPr>
              <w:rPr>
                <w:rFonts w:ascii="Cambria Math" w:hAnsi="Cambria Math" w:cs="仿宋"/>
                <w:i/>
                <w:color w:val="000000"/>
                <w:sz w:val="32"/>
                <w:szCs w:val="32"/>
              </w:rPr>
            </m:ctrlPr>
          </m:sub>
        </m:sSub>
      </m:oMath>
      <w:r>
        <w:rPr>
          <w:rFonts w:ascii="Times New Roman" w:hAnsi="Times New Roman" w:eastAsia="仿宋" w:cs="Cambria Math"/>
          <w:color w:val="000000"/>
          <w:sz w:val="32"/>
          <w:szCs w:val="32"/>
        </w:rPr>
        <w:fldChar w:fldCharType="begin"/>
      </w:r>
      <w:r>
        <w:rPr>
          <w:rFonts w:ascii="Times New Roman" w:hAnsi="Times New Roman" w:eastAsia="仿宋" w:cs="Cambria Math"/>
          <w:color w:val="000000"/>
          <w:sz w:val="32"/>
          <w:szCs w:val="32"/>
        </w:rPr>
        <w:instrText xml:space="preserve"> QUOTE </w:instrText>
      </w:r>
      <w:r>
        <w:rPr>
          <w:rFonts w:ascii="Times New Roman" w:hAnsi="Times New Roman"/>
          <w:position w:val="-18"/>
          <w:sz w:val="32"/>
          <w:szCs w:val="32"/>
        </w:rPr>
        <w:pict>
          <v:shape id="_x0000_i1025" o:spt="75" type="#_x0000_t75" style="height:31pt;width:35.5pt;" filled="f" o:preferrelative="t" stroked="f" coordsize="21600,21600"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bordersDontSurroundHeader/&gt;&lt;w:bordersDontSurroundFooter/&gt;&lt;w:defaultTabStop w:val=&quot;420&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docVars&gt;&lt;w:docVar w:name=&quot;commondata&quot; w:val=&quot;eyJoZGlkIjoiZjJiMzQ2ZGQyNGFlNjM1NzRiODhkZjBiYTBhZjNhMjYifQ==&quot;/&gt;&lt;/w:docVars&gt;&lt;wsp:rsids&gt;&lt;wsp:rsidRoot wsp:val=&quot;00241A3E&quot;/&gt;&lt;wsp:rsid wsp:val=&quot;00181613&quot;/&gt;&lt;wsp:rsid wsp:val=&quot;001A065B&quot;/&gt;&lt;wsp:rsid wsp:val=&quot;00241A3E&quot;/&gt;&lt;wsp:rsid wsp:val=&quot;003023D3&quot;/&gt;&lt;wsp:rsid wsp:val=&quot;0032064B&quot;/&gt;&lt;wsp:rsid wsp:val=&quot;003B79A2&quot;/&gt;&lt;wsp:rsid wsp:val=&quot;00446096&quot;/&gt;&lt;wsp:rsid wsp:val=&quot;005300C2&quot;/&gt;&lt;wsp:rsid wsp:val=&quot;00536F5A&quot;/&gt;&lt;wsp:rsid wsp:val=&quot;00552456&quot;/&gt;&lt;wsp:rsid wsp:val=&quot;005A34E2&quot;/&gt;&lt;wsp:rsid wsp:val=&quot;0072400C&quot;/&gt;&lt;wsp:rsid wsp:val=&quot;007E210E&quot;/&gt;&lt;wsp:rsid wsp:val=&quot;007E5CC9&quot;/&gt;&lt;wsp:rsid wsp:val=&quot;008B2FE4&quot;/&gt;&lt;wsp:rsid wsp:val=&quot;00906876&quot;/&gt;&lt;wsp:rsid wsp:val=&quot;009B5906&quot;/&gt;&lt;wsp:rsid wsp:val=&quot;00A0236B&quot;/&gt;&lt;wsp:rsid wsp:val=&quot;00A06200&quot;/&gt;&lt;wsp:rsid wsp:val=&quot;00A66CE1&quot;/&gt;&lt;wsp:rsid wsp:val=&quot;00B375B5&quot;/&gt;&lt;wsp:rsid wsp:val=&quot;00C01D54&quot;/&gt;&lt;wsp:rsid wsp:val=&quot;00C21500&quot;/&gt;&lt;wsp:rsid wsp:val=&quot;00C256EE&quot;/&gt;&lt;wsp:rsid wsp:val=&quot;00C35EAB&quot;/&gt;&lt;wsp:rsid wsp:val=&quot;00D350FA&quot;/&gt;&lt;wsp:rsid wsp:val=&quot;00D44F1F&quot;/&gt;&lt;wsp:rsid wsp:val=&quot;00D67FBE&quot;/&gt;&lt;wsp:rsid wsp:val=&quot;00D7426A&quot;/&gt;&lt;wsp:rsid wsp:val=&quot;00DF477D&quot;/&gt;&lt;wsp:rsid wsp:val=&quot;00E97607&quot;/&gt;&lt;wsp:rsid wsp:val=&quot;00EB4563&quot;/&gt;&lt;wsp:rsid wsp:val=&quot;00ED2583&quot;/&gt;&lt;wsp:rsid wsp:val=&quot;00F46D00&quot;/&gt;&lt;wsp:rsid wsp:val=&quot;00FD04AF&quot;/&gt;&lt;wsp:rsid wsp:val=&quot;035E5665&quot;/&gt;&lt;wsp:rsid wsp:val=&quot;04D81E9B&quot;/&gt;&lt;wsp:rsid wsp:val=&quot;073076AE&quot;/&gt;&lt;wsp:rsid wsp:val=&quot;08242330&quot;/&gt;&lt;wsp:rsid wsp:val=&quot;0B2563A1&quot;/&gt;&lt;wsp:rsid wsp:val=&quot;0FDA0C46&quot;/&gt;&lt;wsp:rsid wsp:val=&quot;1BCE1B4C&quot;/&gt;&lt;wsp:rsid wsp:val=&quot;21021DE1&quot;/&gt;&lt;wsp:rsid wsp:val=&quot;220E51FE&quot;/&gt;&lt;wsp:rsid wsp:val=&quot;2C7D567F&quot;/&gt;&lt;wsp:rsid wsp:val=&quot;356E0EDA&quot;/&gt;&lt;wsp:rsid wsp:val=&quot;43834C1D&quot;/&gt;&lt;wsp:rsid wsp:val=&quot;4F8A6BCC&quot;/&gt;&lt;wsp:rsid wsp:val=&quot;51EC09C3&quot;/&gt;&lt;wsp:rsid wsp:val=&quot;55B50E3C&quot;/&gt;&lt;wsp:rsid wsp:val=&quot;55C92435&quot;/&gt;&lt;wsp:rsid wsp:val=&quot;5B6C6031&quot;/&gt;&lt;wsp:rsid wsp:val=&quot;5BD75206&quot;/&gt;&lt;wsp:rsid wsp:val=&quot;5C320DAC&quot;/&gt;&lt;wsp:rsid wsp:val=&quot;5E952C81&quot;/&gt;&lt;wsp:rsid wsp:val=&quot;612B0BE1&quot;/&gt;&lt;wsp:rsid wsp:val=&quot;64CA5C81&quot;/&gt;&lt;wsp:rsid wsp:val=&quot;6DF76EC8&quot;/&gt;&lt;wsp:rsid wsp:val=&quot;72122D17&quot;/&gt;&lt;wsp:rsid wsp:val=&quot;743323EE&quot;/&gt;&lt;wsp:rsid wsp:val=&quot;79BB4703&quot;/&gt;&lt;wsp:rsid wsp:val=&quot;79BF6049&quot;/&gt;&lt;wsp:rsid wsp:val=&quot;7BAC154D&quot;/&gt;&lt;/wsp:rsids&gt;&lt;/w:docPr&gt;&lt;w:body&gt;&lt;w:p wsp:rsidR=&quot;00000000&quot; wsp:rsidRDefault=&quot;003B79A2&quot;&gt;&lt;m:oMathPara&gt;&lt;m:oMath&gt;&lt;m:sSub&gt;&lt;m:sSubPr&gt;&lt;m:ctrlPr&gt;&lt;aml:annotation aml:id=&quot;0&quot; w:type=&quot;Word.Insertion&quot; aml:author=&quot;万物自然&quot; aml:createdate=&quot;2022-05-26T13:39:00Z&quot;&gt;&lt;aml:content&gt;&lt;w:rPr&gt;&lt;w:rFonts w:ascii=&quot;Cambria Math&quot; w:fareast=&quot;仿宋&quot; w:h-ansi=&quot;Cambria Math&quot; w:cs=&quot;Cambria Math&quot;/&gt;&lt;wx:font wx:val=&quot;Cambria Math&quot;/&gt;&lt;w:i/&gt;&lt;w:color w:val=&quot;000000&quot;/&gt;&lt;w:sz w:val=&quot;32&quot;/&gt;&lt;w:sz-cl:auths w:val=&quot;32&quot;/&gt;&lt;/w:rPr&gt;&lt;/aml:content&gt;&lt;/aml:annotation&gt;&lt;/m:ctrlPr&gt;&lt;/m:sSubPr&gt;&lt;m:e&gt;&lt;aml:annotation aml:id=&quot;1&quot; w:type=&quot;Word.Insertion&quot; aml:author=&quot;万物自然&quot; aml:createdate=&quot;2022-05-26T13:39:00Z&quot;&gt;&lt;aml:content&gt;&lt;m:r&gt;&lt;w:rPr&gt;&lt;w:rFonts w:ascii=&quot;Cambria Math&quot; w:fareauthast=&quot;仿宋&quot; w:h-ansi=&quot;Cambria Math&quot; w:cs=&quot;Cambria Math&quot;/&gt;&lt;wx:font wx:val=&quot;Cambria Math&quot;/&gt;&lt;w:i/&gt;&lt;w:color w:val=&quot;000000&quot;/&gt;&lt;w:sz w:val=&quot;32&quot;/&gt;&lt;w:sz-cs w:val=&quot;32&quot;/&gt;&lt;/w:rPr&gt;&lt;m:t&gt;x&lt;/m:t&gt;&lt;/m:r&gt;&lt;/aml:content&gt;&lt;/aml:annotation&gt;&lt;/m:e&gt;&lt;m:sub&gt;&lt;aml:annotation aml:id=&quot;2&quot; thw:type=&quot;Word.Insertion&quot; aml:author=&quot;万物自然&quot; aml:createdate=&quot;2022-05-26T13:39:00Z&quot;&gt;&lt;aml:content&gt;&lt;m:r&gt;&lt;w:rPr&gt;&lt;w:rFonts w:ascii=&quot;Cambria Math&quot; w:fareast=&quot;仿宋&quot; w:h-ansi=&quot;Cambria Math&quot; w:cs=&quot;Cambria Math&quot;/&gt;&lt;wx:font wx:val=&quot;Cambria Math&quot;/&gt;&lt;w:i/&gt;&lt;w:color w:va&quot;2&quot; thl=&quot;000000&quot;/&gt;&lt;w:sz w:val=&quot;32&quot;/&gt;&lt;w:sz-cs w:val=&quot;32&quot;/&gt;&lt;/w:rPr&gt;&lt;m:t&gt;2021&lt;/m:t&gt;&lt;/m:r&gt;&lt;/aml:content&gt;&lt;/aml:annotation&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path/>
            <v:fill on="f" focussize="0,0"/>
            <v:stroke on="f" joinstyle="miter"/>
            <v:imagedata r:id="rId6" chromakey="#FFFFFF" o:title=""/>
            <o:lock v:ext="edit" aspectratio="t"/>
            <w10:wrap type="none"/>
            <w10:anchorlock/>
          </v:shape>
        </w:pict>
      </w:r>
      <w:r>
        <w:rPr>
          <w:rFonts w:ascii="Times New Roman" w:hAnsi="Times New Roman" w:eastAsia="仿宋" w:cs="Cambria Math"/>
          <w:color w:val="000000"/>
          <w:sz w:val="32"/>
          <w:szCs w:val="32"/>
        </w:rPr>
        <w:instrText xml:space="preserve"> </w:instrText>
      </w:r>
      <w:r>
        <w:rPr>
          <w:rFonts w:ascii="Times New Roman" w:hAnsi="Times New Roman" w:eastAsia="仿宋" w:cs="Cambria Math"/>
          <w:color w:val="000000"/>
          <w:sz w:val="32"/>
          <w:szCs w:val="32"/>
        </w:rPr>
        <w:fldChar w:fldCharType="end"/>
      </w:r>
      <w:r>
        <w:rPr>
          <w:rFonts w:hint="eastAsia" w:ascii="Times New Roman" w:hAnsi="Times New Roman" w:eastAsia="仿宋" w:cs="Cambria Math"/>
          <w:color w:val="000000"/>
          <w:sz w:val="32"/>
          <w:szCs w:val="32"/>
        </w:rPr>
        <w:t>，</w:t>
      </w:r>
      <w:r>
        <w:rPr>
          <w:rFonts w:hint="eastAsia" w:ascii="Times New Roman" w:hAnsi="Times New Roman" w:eastAsia="仿宋_GB2312" w:cs="仿宋_GB2312"/>
          <w:sz w:val="32"/>
          <w:szCs w:val="32"/>
        </w:rPr>
        <w:t>计算公式：</w:t>
      </w:r>
      <m:oMath>
        <m:r>
          <m:rPr/>
          <w:rPr>
            <w:rFonts w:hint="default" w:ascii="Cambria Math" w:hAnsi="Cambria Math" w:eastAsia="仿宋_GB2312" w:cs="Times New Roman"/>
            <w:color w:val="000000" w:themeColor="text1"/>
            <w:sz w:val="32"/>
            <w:szCs w:val="32"/>
            <w14:textFill>
              <w14:solidFill>
                <w14:schemeClr w14:val="tx1"/>
              </w14:solidFill>
            </w14:textFill>
          </w:rPr>
          <m:t>α</m:t>
        </m:r>
        <m:r>
          <m:rPr/>
          <w:rPr>
            <w:rFonts w:hint="default" w:ascii="Cambria Math" w:hAnsi="Cambria Math" w:eastAsia="仿宋_GB2312" w:cs="Times New Roman"/>
            <w:color w:val="000000" w:themeColor="text1"/>
            <w:sz w:val="32"/>
            <w:szCs w:val="32"/>
            <w:lang w:val="en-US" w:eastAsia="zh-CN"/>
            <w14:textFill>
              <w14:solidFill>
                <w14:schemeClr w14:val="tx1"/>
              </w14:solidFill>
            </w14:textFill>
          </w:rPr>
          <m:t>=(</m:t>
        </m:r>
        <m:rad>
          <m:radPr>
            <m:ctrlPr>
              <w:rPr>
                <w:rFonts w:hint="default" w:ascii="Cambria Math" w:hAnsi="Cambria Math" w:eastAsia="仿宋_GB2312" w:cs="Times New Roman"/>
                <w:i/>
                <w:color w:val="000000" w:themeColor="text1"/>
                <w:sz w:val="32"/>
                <w:szCs w:val="32"/>
                <w:lang w:val="en-US"/>
                <w14:textFill>
                  <w14:solidFill>
                    <w14:schemeClr w14:val="tx1"/>
                  </w14:solidFill>
                </w14:textFill>
              </w:rPr>
            </m:ctrlPr>
          </m:radPr>
          <m:deg>
            <m:r>
              <m:rPr/>
              <w:rPr>
                <w:rFonts w:hint="default" w:ascii="Cambria Math" w:hAnsi="Cambria Math" w:eastAsia="仿宋_GB2312" w:cs="Times New Roman"/>
                <w:color w:val="000000" w:themeColor="text1"/>
                <w:sz w:val="32"/>
                <w:szCs w:val="32"/>
                <w:lang w:val="en-US"/>
                <w14:textFill>
                  <w14:solidFill>
                    <w14:schemeClr w14:val="tx1"/>
                  </w14:solidFill>
                </w14:textFill>
              </w:rPr>
              <m:t>3</m:t>
            </m:r>
            <m:ctrlPr>
              <w:rPr>
                <w:rFonts w:hint="default" w:ascii="Cambria Math" w:hAnsi="Cambria Math" w:eastAsia="仿宋_GB2312" w:cs="Times New Roman"/>
                <w:i/>
                <w:color w:val="000000" w:themeColor="text1"/>
                <w:sz w:val="32"/>
                <w:szCs w:val="32"/>
                <w:lang w:val="en-US"/>
                <w14:textFill>
                  <w14:solidFill>
                    <w14:schemeClr w14:val="tx1"/>
                  </w14:solidFill>
                </w14:textFill>
              </w:rPr>
            </m:ctrlPr>
          </m:deg>
          <m:e>
            <m:f>
              <m:fPr>
                <m:type m:val="skw"/>
                <m:ctrlPr>
                  <w:rPr>
                    <w:rFonts w:hint="default" w:ascii="Cambria Math" w:hAnsi="Cambria Math" w:eastAsia="仿宋_GB2312" w:cs="Times New Roman"/>
                    <w:i/>
                    <w:color w:val="000000" w:themeColor="text1"/>
                    <w:sz w:val="32"/>
                    <w:szCs w:val="32"/>
                    <w14:textFill>
                      <w14:solidFill>
                        <w14:schemeClr w14:val="tx1"/>
                      </w14:solidFill>
                    </w14:textFill>
                  </w:rPr>
                </m:ctrlPr>
              </m:fPr>
              <m:num>
                <m:sSub>
                  <m:sSubPr>
                    <m:ctrlPr>
                      <w:rPr>
                        <w:rFonts w:hint="default" w:ascii="Cambria Math" w:hAnsi="Cambria Math" w:eastAsia="仿宋_GB2312" w:cs="Times New Roman"/>
                        <w:i/>
                        <w:color w:val="000000" w:themeColor="text1"/>
                        <w:sz w:val="32"/>
                        <w:szCs w:val="32"/>
                        <w14:textFill>
                          <w14:solidFill>
                            <w14:schemeClr w14:val="tx1"/>
                          </w14:solidFill>
                        </w14:textFill>
                      </w:rPr>
                    </m:ctrlPr>
                  </m:sSubPr>
                  <m:e>
                    <m:r>
                      <m:rPr/>
                      <w:rPr>
                        <w:rFonts w:hint="default" w:ascii="Cambria Math" w:hAnsi="Cambria Math" w:eastAsia="仿宋_GB2312" w:cs="Times New Roman"/>
                        <w:color w:val="000000" w:themeColor="text1"/>
                        <w:sz w:val="32"/>
                        <w:szCs w:val="32"/>
                        <w14:textFill>
                          <w14:solidFill>
                            <w14:schemeClr w14:val="tx1"/>
                          </w14:solidFill>
                        </w14:textFill>
                      </w:rPr>
                      <m:t>x</m:t>
                    </m:r>
                    <m:ctrlPr>
                      <w:rPr>
                        <w:rFonts w:hint="default" w:ascii="Cambria Math" w:hAnsi="Cambria Math" w:eastAsia="仿宋_GB2312" w:cs="Times New Roman"/>
                        <w:i/>
                        <w:color w:val="000000" w:themeColor="text1"/>
                        <w:sz w:val="32"/>
                        <w:szCs w:val="32"/>
                        <w14:textFill>
                          <w14:solidFill>
                            <w14:schemeClr w14:val="tx1"/>
                          </w14:solidFill>
                        </w14:textFill>
                      </w:rPr>
                    </m:ctrlPr>
                  </m:e>
                  <m:sub>
                    <m:r>
                      <m:rPr/>
                      <w:rPr>
                        <w:rFonts w:hint="default" w:ascii="Cambria Math" w:hAnsi="Cambria Math" w:eastAsia="仿宋_GB2312" w:cs="Times New Roman"/>
                        <w:color w:val="000000" w:themeColor="text1"/>
                        <w:sz w:val="32"/>
                        <w:szCs w:val="32"/>
                        <w14:textFill>
                          <w14:solidFill>
                            <w14:schemeClr w14:val="tx1"/>
                          </w14:solidFill>
                        </w14:textFill>
                      </w:rPr>
                      <m:t>202</m:t>
                    </m:r>
                    <m:r>
                      <m:rPr/>
                      <w:rPr>
                        <w:rFonts w:hint="default" w:ascii="Cambria Math" w:hAnsi="Cambria Math" w:eastAsia="仿宋_GB2312" w:cs="Times New Roman"/>
                        <w:color w:val="000000" w:themeColor="text1"/>
                        <w:sz w:val="32"/>
                        <w:szCs w:val="32"/>
                        <w:lang w:val="en-US" w:eastAsia="zh-CN"/>
                        <w14:textFill>
                          <w14:solidFill>
                            <w14:schemeClr w14:val="tx1"/>
                          </w14:solidFill>
                        </w14:textFill>
                      </w:rPr>
                      <m:t>3</m:t>
                    </m:r>
                    <m:ctrlPr>
                      <w:rPr>
                        <w:rFonts w:hint="default" w:ascii="Cambria Math" w:hAnsi="Cambria Math" w:eastAsia="仿宋_GB2312" w:cs="Times New Roman"/>
                        <w:i/>
                        <w:color w:val="000000" w:themeColor="text1"/>
                        <w:sz w:val="32"/>
                        <w:szCs w:val="32"/>
                        <w14:textFill>
                          <w14:solidFill>
                            <w14:schemeClr w14:val="tx1"/>
                          </w14:solidFill>
                        </w14:textFill>
                      </w:rPr>
                    </m:ctrlPr>
                  </m:sub>
                </m:sSub>
                <m:ctrlPr>
                  <w:rPr>
                    <w:rFonts w:hint="default" w:ascii="Cambria Math" w:hAnsi="Cambria Math" w:eastAsia="仿宋_GB2312" w:cs="Times New Roman"/>
                    <w:i/>
                    <w:color w:val="000000" w:themeColor="text1"/>
                    <w:sz w:val="32"/>
                    <w:szCs w:val="32"/>
                    <w14:textFill>
                      <w14:solidFill>
                        <w14:schemeClr w14:val="tx1"/>
                      </w14:solidFill>
                    </w14:textFill>
                  </w:rPr>
                </m:ctrlPr>
              </m:num>
              <m:den>
                <m:sSub>
                  <m:sSubPr>
                    <m:ctrlPr>
                      <w:rPr>
                        <w:rFonts w:hint="default" w:ascii="Cambria Math" w:hAnsi="Cambria Math" w:eastAsia="仿宋_GB2312" w:cs="Times New Roman"/>
                        <w:i/>
                        <w:color w:val="000000" w:themeColor="text1"/>
                        <w:sz w:val="32"/>
                        <w:szCs w:val="32"/>
                        <w14:textFill>
                          <w14:solidFill>
                            <w14:schemeClr w14:val="tx1"/>
                          </w14:solidFill>
                        </w14:textFill>
                      </w:rPr>
                    </m:ctrlPr>
                  </m:sSubPr>
                  <m:e>
                    <m:r>
                      <m:rPr/>
                      <w:rPr>
                        <w:rFonts w:hint="default" w:ascii="Cambria Math" w:hAnsi="Cambria Math" w:eastAsia="仿宋_GB2312" w:cs="Times New Roman"/>
                        <w:color w:val="000000" w:themeColor="text1"/>
                        <w:sz w:val="32"/>
                        <w:szCs w:val="32"/>
                        <w14:textFill>
                          <w14:solidFill>
                            <w14:schemeClr w14:val="tx1"/>
                          </w14:solidFill>
                        </w14:textFill>
                      </w:rPr>
                      <m:t>x</m:t>
                    </m:r>
                    <m:ctrlPr>
                      <w:rPr>
                        <w:rFonts w:hint="default" w:ascii="Cambria Math" w:hAnsi="Cambria Math" w:eastAsia="仿宋_GB2312" w:cs="Times New Roman"/>
                        <w:i/>
                        <w:color w:val="000000" w:themeColor="text1"/>
                        <w:sz w:val="32"/>
                        <w:szCs w:val="32"/>
                        <w14:textFill>
                          <w14:solidFill>
                            <w14:schemeClr w14:val="tx1"/>
                          </w14:solidFill>
                        </w14:textFill>
                      </w:rPr>
                    </m:ctrlPr>
                  </m:e>
                  <m:sub>
                    <m:r>
                      <m:rPr/>
                      <w:rPr>
                        <w:rFonts w:hint="default" w:ascii="Cambria Math" w:hAnsi="Cambria Math" w:eastAsia="仿宋_GB2312" w:cs="Times New Roman"/>
                        <w:color w:val="000000" w:themeColor="text1"/>
                        <w:sz w:val="32"/>
                        <w:szCs w:val="32"/>
                        <w14:textFill>
                          <w14:solidFill>
                            <w14:schemeClr w14:val="tx1"/>
                          </w14:solidFill>
                        </w14:textFill>
                      </w:rPr>
                      <m:t>20</m:t>
                    </m:r>
                    <m:r>
                      <m:rPr/>
                      <w:rPr>
                        <w:rFonts w:hint="default" w:ascii="Cambria Math" w:hAnsi="Cambria Math" w:eastAsia="仿宋_GB2312" w:cs="Times New Roman"/>
                        <w:color w:val="000000" w:themeColor="text1"/>
                        <w:sz w:val="32"/>
                        <w:szCs w:val="32"/>
                        <w:lang w:val="en-US" w:eastAsia="zh-CN"/>
                        <w14:textFill>
                          <w14:solidFill>
                            <w14:schemeClr w14:val="tx1"/>
                          </w14:solidFill>
                        </w14:textFill>
                      </w:rPr>
                      <m:t>20</m:t>
                    </m:r>
                    <m:ctrlPr>
                      <w:rPr>
                        <w:rFonts w:hint="default" w:ascii="Cambria Math" w:hAnsi="Cambria Math" w:eastAsia="仿宋_GB2312" w:cs="Times New Roman"/>
                        <w:i/>
                        <w:color w:val="000000" w:themeColor="text1"/>
                        <w:sz w:val="32"/>
                        <w:szCs w:val="32"/>
                        <w14:textFill>
                          <w14:solidFill>
                            <w14:schemeClr w14:val="tx1"/>
                          </w14:solidFill>
                        </w14:textFill>
                      </w:rPr>
                    </m:ctrlPr>
                  </m:sub>
                </m:sSub>
                <m:ctrlPr>
                  <w:rPr>
                    <w:rFonts w:hint="default" w:ascii="Cambria Math" w:hAnsi="Cambria Math" w:eastAsia="仿宋_GB2312" w:cs="Times New Roman"/>
                    <w:i/>
                    <w:color w:val="000000" w:themeColor="text1"/>
                    <w:sz w:val="32"/>
                    <w:szCs w:val="32"/>
                    <w14:textFill>
                      <w14:solidFill>
                        <w14:schemeClr w14:val="tx1"/>
                      </w14:solidFill>
                    </w14:textFill>
                  </w:rPr>
                </m:ctrlPr>
              </m:den>
            </m:f>
            <m:ctrlPr>
              <w:rPr>
                <w:rFonts w:hint="default" w:ascii="Cambria Math" w:hAnsi="Cambria Math" w:eastAsia="仿宋_GB2312" w:cs="Times New Roman"/>
                <w:i/>
                <w:color w:val="000000" w:themeColor="text1"/>
                <w:sz w:val="32"/>
                <w:szCs w:val="32"/>
                <w:lang w:val="en-US"/>
                <w14:textFill>
                  <w14:solidFill>
                    <w14:schemeClr w14:val="tx1"/>
                  </w14:solidFill>
                </w14:textFill>
              </w:rPr>
            </m:ctrlPr>
          </m:e>
        </m:rad>
      </m:oMath>
      <w:r>
        <w:rPr>
          <w:rFonts w:hint="default" w:ascii="Times New Roman" w:hAnsi="Times New Roman" w:eastAsia="仿宋_GB2312" w:cs="Times New Roman"/>
          <w:i w:val="0"/>
          <w:color w:val="000000" w:themeColor="text1"/>
          <w:sz w:val="32"/>
          <w:szCs w:val="32"/>
          <w14:textFill>
            <w14:solidFill>
              <w14:schemeClr w14:val="tx1"/>
            </w14:solidFill>
          </w14:textFill>
        </w:rPr>
        <w:t>－</w:t>
      </w:r>
      <w:r>
        <w:rPr>
          <w:rFonts w:hint="default" w:ascii="Times New Roman" w:hAnsi="Times New Roman" w:eastAsia="仿宋_GB2312" w:cs="Times New Roman"/>
          <w:i w:val="0"/>
          <w:color w:val="000000" w:themeColor="text1"/>
          <w:sz w:val="32"/>
          <w:szCs w:val="32"/>
          <w:lang w:val="en-US" w:eastAsia="zh-CN"/>
          <w14:textFill>
            <w14:solidFill>
              <w14:schemeClr w14:val="tx1"/>
            </w14:solidFill>
          </w14:textFill>
        </w:rPr>
        <w:t>1)×100%</w:t>
      </w:r>
      <w:r>
        <w:rPr>
          <w:rFonts w:hint="default" w:ascii="Times New Roman" w:hAnsi="Times New Roman" w:eastAsia="仿宋_GB2312" w:cs="Times New Roman"/>
          <w:i w:val="0"/>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i w:val="0"/>
          <w:color w:val="000000" w:themeColor="text1"/>
          <w:sz w:val="32"/>
          <w:szCs w:val="32"/>
          <w:lang w:val="en-US" w:eastAsia="zh-CN"/>
          <w14:textFill>
            <w14:solidFill>
              <w14:schemeClr w14:val="tx1"/>
            </w14:solidFill>
          </w14:textFill>
        </w:rPr>
        <w:t>例</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如：</w:t>
      </w:r>
      <w:r>
        <w:rPr>
          <w:rFonts w:hint="default" w:ascii="Times New Roman" w:hAnsi="Times New Roman" w:eastAsia="仿宋_GB2312" w:cs="Times New Roman"/>
          <w:b w:val="0"/>
          <w:color w:val="000000" w:themeColor="text1"/>
          <w:sz w:val="32"/>
          <w:szCs w:val="32"/>
          <w14:textFill>
            <w14:solidFill>
              <w14:schemeClr w14:val="tx1"/>
            </w14:solidFill>
          </w14:textFill>
        </w:rPr>
        <w:t>休闲农业</w:t>
      </w:r>
      <w:r>
        <w:rPr>
          <w:rFonts w:hint="default" w:ascii="Times New Roman" w:hAnsi="Times New Roman" w:eastAsia="仿宋_GB2312" w:cs="Times New Roman"/>
          <w:b w:val="0"/>
          <w:color w:val="000000" w:themeColor="text1"/>
          <w:sz w:val="32"/>
          <w:szCs w:val="32"/>
          <w:lang w:val="en-US" w:eastAsia="zh-CN"/>
          <w14:textFill>
            <w14:solidFill>
              <w14:schemeClr w14:val="tx1"/>
            </w14:solidFill>
          </w14:textFill>
        </w:rPr>
        <w:t>营业</w:t>
      </w:r>
      <w:r>
        <w:rPr>
          <w:rFonts w:hint="default" w:ascii="Times New Roman" w:hAnsi="Times New Roman" w:eastAsia="仿宋_GB2312" w:cs="Times New Roman"/>
          <w:b w:val="0"/>
          <w:color w:val="000000" w:themeColor="text1"/>
          <w:sz w:val="32"/>
          <w:szCs w:val="32"/>
          <w14:textFill>
            <w14:solidFill>
              <w14:schemeClr w14:val="tx1"/>
            </w14:solidFill>
          </w14:textFill>
        </w:rPr>
        <w:t>收入三年平均增速</w:t>
      </w:r>
      <w:r>
        <w:rPr>
          <w:rFonts w:hint="default" w:ascii="Times New Roman" w:hAnsi="Times New Roman" w:eastAsia="仿宋_GB2312" w:cs="Times New Roman"/>
          <w:color w:val="000000" w:themeColor="text1"/>
          <w:sz w:val="32"/>
          <w:szCs w:val="32"/>
          <w14:textFill>
            <w14:solidFill>
              <w14:schemeClr w14:val="tx1"/>
            </w14:solidFill>
          </w14:textFill>
        </w:rPr>
        <w:t>=（</w:t>
      </w:r>
      <m:oMath>
        <m:rad>
          <m:radPr>
            <m:ctrlPr>
              <w:rPr>
                <w:rFonts w:hint="default" w:ascii="Cambria Math" w:hAnsi="Cambria Math" w:eastAsia="仿宋_GB2312" w:cs="Times New Roman"/>
                <w:i/>
                <w:color w:val="000000" w:themeColor="text1"/>
                <w:sz w:val="32"/>
                <w:szCs w:val="32"/>
                <w14:textFill>
                  <w14:solidFill>
                    <w14:schemeClr w14:val="tx1"/>
                  </w14:solidFill>
                </w14:textFill>
              </w:rPr>
            </m:ctrlPr>
          </m:radPr>
          <m:deg>
            <m:r>
              <m:rPr/>
              <w:rPr>
                <w:rFonts w:hint="default" w:ascii="Cambria Math" w:hAnsi="Cambria Math" w:eastAsia="仿宋_GB2312" w:cs="Times New Roman"/>
                <w:color w:val="000000" w:themeColor="text1"/>
                <w:sz w:val="32"/>
                <w:szCs w:val="32"/>
                <w14:textFill>
                  <w14:solidFill>
                    <w14:schemeClr w14:val="tx1"/>
                  </w14:solidFill>
                </w14:textFill>
              </w:rPr>
              <m:t>3</m:t>
            </m:r>
            <m:ctrlPr>
              <w:rPr>
                <w:rFonts w:hint="default" w:ascii="Cambria Math" w:hAnsi="Cambria Math" w:eastAsia="仿宋_GB2312" w:cs="Times New Roman"/>
                <w:i/>
                <w:color w:val="000000" w:themeColor="text1"/>
                <w:sz w:val="32"/>
                <w:szCs w:val="32"/>
                <w14:textFill>
                  <w14:solidFill>
                    <w14:schemeClr w14:val="tx1"/>
                  </w14:solidFill>
                </w14:textFill>
              </w:rPr>
            </m:ctrlPr>
          </m:deg>
          <m:e>
            <m:r>
              <m:rPr>
                <m:sty m:val="p"/>
              </m:rPr>
              <w:rPr>
                <w:rFonts w:hint="default" w:ascii="Cambria Math" w:hAnsi="Cambria Math" w:eastAsia="仿宋_GB2312" w:cs="Times New Roman"/>
                <w:color w:val="000000" w:themeColor="text1"/>
                <w:sz w:val="32"/>
                <w:szCs w:val="32"/>
                <w:lang w:val="en-US" w:eastAsia="zh-CN"/>
                <w14:textFill>
                  <w14:solidFill>
                    <w14:schemeClr w14:val="tx1"/>
                  </w14:solidFill>
                </w14:textFill>
              </w:rPr>
              <m:t>2023年</m:t>
            </m:r>
            <m:r>
              <m:rPr>
                <m:sty m:val="p"/>
              </m:rPr>
              <w:rPr>
                <w:rFonts w:hint="default" w:ascii="Cambria Math" w:hAnsi="Cambria Math" w:eastAsia="仿宋" w:cs="仿宋"/>
                <w:color w:val="000000"/>
                <w:sz w:val="32"/>
                <w:szCs w:val="32"/>
                <w:lang w:val="en-US" w:eastAsia="zh-CN"/>
              </w:rPr>
              <m:t>营业</m:t>
            </m:r>
            <m:r>
              <m:rPr>
                <m:sty m:val="p"/>
              </m:rPr>
              <w:rPr>
                <w:rFonts w:hint="default" w:ascii="Cambria Math" w:hAnsi="Cambria Math" w:eastAsia="仿宋_GB2312" w:cs="Times New Roman"/>
                <w:color w:val="000000" w:themeColor="text1"/>
                <w:sz w:val="32"/>
                <w:szCs w:val="32"/>
                <w:lang w:val="en-US" w:eastAsia="zh-CN"/>
                <w14:textFill>
                  <w14:solidFill>
                    <w14:schemeClr w14:val="tx1"/>
                  </w14:solidFill>
                </w14:textFill>
              </w:rPr>
              <m:t>收入总额/2020年营业收入总额</m:t>
            </m:r>
            <m:ctrlPr>
              <w:rPr>
                <w:rFonts w:hint="default" w:ascii="Cambria Math" w:hAnsi="Cambria Math" w:eastAsia="仿宋_GB2312" w:cs="Times New Roman"/>
                <w:i/>
                <w:color w:val="000000" w:themeColor="text1"/>
                <w:sz w:val="32"/>
                <w:szCs w:val="32"/>
                <w14:textFill>
                  <w14:solidFill>
                    <w14:schemeClr w14:val="tx1"/>
                  </w14:solidFill>
                </w14:textFill>
              </w:rPr>
            </m:ctrlPr>
          </m:e>
        </m:rad>
      </m:oMath>
      <w:r>
        <w:rPr>
          <w:rFonts w:hint="default" w:ascii="Times New Roman" w:hAnsi="Times New Roman" w:eastAsia="仿宋_GB2312" w:cs="Times New Roman"/>
          <w:color w:val="000000" w:themeColor="text1"/>
          <w:sz w:val="32"/>
          <w:szCs w:val="32"/>
          <w14:textFill>
            <w14:solidFill>
              <w14:schemeClr w14:val="tx1"/>
            </w14:solidFill>
          </w14:textFill>
        </w:rPr>
        <w:t>－1）×100%</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。如用excel表计算：A1=202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3</w:t>
      </w:r>
      <w:r>
        <w:rPr>
          <w:rFonts w:hint="default" w:ascii="Times New Roman" w:hAnsi="Times New Roman" w:eastAsia="仿宋_GB2312" w:cs="Times New Roman"/>
          <w:color w:val="000000" w:themeColor="text1"/>
          <w:sz w:val="32"/>
          <w:szCs w:val="32"/>
          <w14:textFill>
            <w14:solidFill>
              <w14:schemeClr w14:val="tx1"/>
            </w14:solidFill>
          </w14:textFill>
        </w:rPr>
        <w:t>年</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营业</w:t>
      </w:r>
      <w:r>
        <w:rPr>
          <w:rFonts w:hint="default" w:ascii="Times New Roman" w:hAnsi="Times New Roman" w:eastAsia="仿宋_GB2312" w:cs="Times New Roman"/>
          <w:color w:val="000000" w:themeColor="text1"/>
          <w:sz w:val="32"/>
          <w:szCs w:val="32"/>
          <w14:textFill>
            <w14:solidFill>
              <w14:schemeClr w14:val="tx1"/>
            </w14:solidFill>
          </w14:textFill>
        </w:rPr>
        <w:t>收入总额</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，A2=20</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20</w:t>
      </w:r>
      <w:r>
        <w:rPr>
          <w:rFonts w:hint="default" w:ascii="Times New Roman" w:hAnsi="Times New Roman" w:eastAsia="仿宋_GB2312" w:cs="Times New Roman"/>
          <w:color w:val="000000" w:themeColor="text1"/>
          <w:sz w:val="32"/>
          <w:szCs w:val="32"/>
          <w14:textFill>
            <w14:solidFill>
              <w14:schemeClr w14:val="tx1"/>
            </w14:solidFill>
          </w14:textFill>
        </w:rPr>
        <w:t>年</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营业</w:t>
      </w:r>
      <w:r>
        <w:rPr>
          <w:rFonts w:hint="default" w:ascii="Times New Roman" w:hAnsi="Times New Roman" w:eastAsia="仿宋_GB2312" w:cs="Times New Roman"/>
          <w:color w:val="000000" w:themeColor="text1"/>
          <w:sz w:val="32"/>
          <w:szCs w:val="32"/>
          <w14:textFill>
            <w14:solidFill>
              <w14:schemeClr w14:val="tx1"/>
            </w14:solidFill>
          </w14:textFill>
        </w:rPr>
        <w:t>收入总额</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计算公式为：=((A1/A2)^(1/3)</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1)*100%。</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四、定性描述部分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休闲农业重点县建设情况总结论述中要注意：</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1.功能拓展方面要重点阐述：本县依托农业农村特色资源和农业文化遗产，形成乡村休闲文化体验项目，实现乡村优秀传统文化的活化传承。依托山水林田湖草沙等生态资源优势，结合农业资源保护利用、农村生态文明建设，形成的生态休闲体验项目，实现生态资源价值的转化；依托农业高新科技示范、特色农业生产环节等，形成农业科普、亲子教育等实现科普教育功能的项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机制创新方面要重点阐述：本县是否成立县级主要领导任组长，相关部门负责人任成员的休闲农业重点县建设领导小组，且领导小组机制在休闲农业发展决策中发挥了突出的领导作用；是否形成相关部门定期参加研究解决休闲农业发展问题的休闲农业发展联席会议制度；是否形成联农带农机制，农民分享二三产业增值收益有保障；是否建立多种经营主体协同发展的行业组织或沟通联系机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3.政策创设方面要重点阐述：出台休闲农业和乡村旅游人才引进和培训、支持休闲农业发展用地政策、资金支持政策或提供便利融资方式等情况。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4.出台相关政策性文件以附件形式一并提供。</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五、典型案例推荐</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级农业农村部门可根据申报县基本情况择优推荐1个休闲农业和农产品加工前伸后延、一二三产业融合发展的重点县典型案例，主要包括重点县在休闲农业和农产品加工业业态融合、机制联动、模式创新、协同发展等方面的做法成效，篇幅2000字左右，农业农村部将组织遴选，适时予以宣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六、初审后期处置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1.材料补充</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（1）材料不齐。申报材料有缺失的，省级管理部门需在部里通知后3个工作日内补齐材料。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合理说明。省级管理部门要按时限督促提供特殊情况补充说明材料，如2021年、2022年由于疫情原因休闲农业营业收入、年接待人次等存在大幅下降的，需提供2019年休闲农业收入和年接待人次情况，以及2023年行业恢复情况等。</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2.超报退回</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农业农村部办公厅关于开展2024年全国休闲农业重点县申报和监测工作的通知》明确了2024年每省（自治区、直辖市）申报名额。请各省（自治区、直辖市）严格审核，确定申报县名额和排序，不要超报。超报会整体退回，可能导致今年的全国休闲农业重点县申报名额全部取消。</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注：各省级农业农村管理部门务必于于2024年6月17日前将省级文件（推荐意见）、申报表等相关材料纸质版1份邮寄到农业农村部乡村产业发展司（农产品加工指导司）。</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联系人：孟德豪</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 话：010－59191649</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通讯地址：北京市朝阳区农展南里11号</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邮编：100125</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指标及报送材料答疑人：谭光万  </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电话：010-82105676   微信号：Tanguangwan999</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软件操作技术支持联系人：李俊超 </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电话：010-59195811     QQ：1660860152</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6E040C5-773E-4212-A681-8FB19490B85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8A69F665-4EEF-4880-9676-42E4DAA3E0F2}"/>
  </w:font>
  <w:font w:name="华文中宋">
    <w:panose1 w:val="02010600040101010101"/>
    <w:charset w:val="86"/>
    <w:family w:val="auto"/>
    <w:pitch w:val="default"/>
    <w:sig w:usb0="00000287" w:usb1="080F0000" w:usb2="00000000" w:usb3="00000000" w:csb0="0004009F" w:csb1="DFD70000"/>
    <w:embedRegular r:id="rId3" w:fontKey="{5FBE4A8E-B5CF-4E4C-9FA4-B0AA27358E5B}"/>
  </w:font>
  <w:font w:name="仿宋_GB2312">
    <w:panose1 w:val="02010609030101010101"/>
    <w:charset w:val="86"/>
    <w:family w:val="auto"/>
    <w:pitch w:val="default"/>
    <w:sig w:usb0="00000001" w:usb1="080E0000" w:usb2="00000000" w:usb3="00000000" w:csb0="00040000" w:csb1="00000000"/>
    <w:embedRegular r:id="rId4" w:fontKey="{EB7606C0-87F2-4ECE-A1D7-A19983BF8F79}"/>
  </w:font>
  <w:font w:name="仿宋">
    <w:panose1 w:val="02010609060101010101"/>
    <w:charset w:val="86"/>
    <w:family w:val="auto"/>
    <w:pitch w:val="default"/>
    <w:sig w:usb0="800002BF" w:usb1="38CF7CFA" w:usb2="00000016" w:usb3="00000000" w:csb0="00040001" w:csb1="00000000"/>
    <w:embedRegular r:id="rId5" w:fontKey="{A0F649B2-4F6A-4327-B43F-2B5D171444F9}"/>
  </w:font>
  <w:font w:name="Cambria Math">
    <w:panose1 w:val="02040503050406030204"/>
    <w:charset w:val="00"/>
    <w:family w:val="roman"/>
    <w:pitch w:val="default"/>
    <w:sig w:usb0="E00006FF" w:usb1="420024FF" w:usb2="02000000" w:usb3="00000000" w:csb0="2000019F" w:csb1="00000000"/>
    <w:embedRegular r:id="rId6" w:fontKey="{0F03D6E0-F141-4407-8DC4-27C11256645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w:t>
                          </w:r>
                          <w:r>
                            <w:rPr>
                              <w:rFonts w:hint="default" w:ascii="Times New Roman" w:hAnsi="Times New Roman" w:cs="Times New Roman"/>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w:t>
                    </w:r>
                    <w:r>
                      <w:rPr>
                        <w:rFonts w:hint="default" w:ascii="Times New Roman" w:hAnsi="Times New Roman" w:cs="Times New Roman"/>
                        <w:sz w:val="21"/>
                        <w:szCs w:val="21"/>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BmMGIyYzQzZWI0ODFkYzllYTNkZmQ1MDA3YzY3YjMifQ=="/>
  </w:docVars>
  <w:rsids>
    <w:rsidRoot w:val="7E231322"/>
    <w:rsid w:val="0EF56A7A"/>
    <w:rsid w:val="18F83362"/>
    <w:rsid w:val="41AB10A9"/>
    <w:rsid w:val="44554FCB"/>
    <w:rsid w:val="539719B0"/>
    <w:rsid w:val="63623BB3"/>
    <w:rsid w:val="7BDC680D"/>
    <w:rsid w:val="7E2313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note text"/>
    <w:basedOn w:val="1"/>
    <w:autoRedefine/>
    <w:unhideWhenUsed/>
    <w:qFormat/>
    <w:uiPriority w:val="99"/>
    <w:pPr>
      <w:snapToGrid w:val="0"/>
      <w:jc w:val="left"/>
    </w:pPr>
    <w:rPr>
      <w:sz w:val="18"/>
      <w:szCs w:val="18"/>
    </w:r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2024-04-22T01:02:00Z</dcterms:created>
  <dc:creator>万物自然</dc:creator>
  <cp:lastModifiedBy>万物自然</cp:lastModifiedBy>
  <dcterms:modified xsi:type="dcterms:W3CDTF">2024-04-22T07:02:50Z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2E5848C758CC431392FC7A1AFF77CD72_11</vt:lpwstr>
  </property>
</Properties>
</file>